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rsidTr="00544A8F">
        <w:tc>
          <w:tcPr>
            <w:tcW w:w="9576" w:type="dxa"/>
            <w:shd w:val="clear" w:color="auto" w:fill="auto"/>
          </w:tcPr>
          <w:p w:rsidR="007E7B33" w:rsidRDefault="007E7B33" w:rsidP="001052ED">
            <w:pPr>
              <w:pStyle w:val="14bldcentr"/>
            </w:pPr>
            <w:r>
              <w:t xml:space="preserve">ADDENDUM </w:t>
            </w:r>
            <w:r w:rsidR="001052ED">
              <w:t>ONE</w:t>
            </w:r>
            <w:r>
              <w:t>, QUESTIONS and ANSWERS</w:t>
            </w:r>
          </w:p>
        </w:tc>
      </w:tr>
    </w:tbl>
    <w:p w:rsidR="000A7F6D" w:rsidRDefault="000A7F6D" w:rsidP="002E0890">
      <w:pPr>
        <w:pStyle w:val="14bldcentr"/>
      </w:pPr>
    </w:p>
    <w:p w:rsidR="007124F4" w:rsidRPr="00BD5697" w:rsidRDefault="007124F4" w:rsidP="002E0890">
      <w:pPr>
        <w:pStyle w:val="Level1Body"/>
      </w:pPr>
    </w:p>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1052ED">
        <w:t>May 9, 2018</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1052ED">
        <w:t>Chris Kliment</w:t>
      </w:r>
      <w:r w:rsidRPr="00BD5697">
        <w:t>, Buyer</w:t>
      </w:r>
    </w:p>
    <w:p w:rsidR="007124F4" w:rsidRDefault="001052ED" w:rsidP="002E0890">
      <w:pPr>
        <w:pStyle w:val="Level3Body"/>
      </w:pPr>
      <w:r>
        <w:t>Department of Corrections</w:t>
      </w:r>
      <w:r w:rsidR="007124F4" w:rsidRPr="00BD5697">
        <w:t xml:space="preserve"> </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1052ED">
        <w:t>95991-Z6</w:t>
      </w:r>
      <w:r>
        <w:t xml:space="preserve"> </w:t>
      </w:r>
    </w:p>
    <w:p w:rsidR="006A5040" w:rsidRPr="00BD5697" w:rsidRDefault="006A5040" w:rsidP="006A5040">
      <w:pPr>
        <w:pStyle w:val="Level3Body"/>
      </w:pPr>
      <w:r>
        <w:t xml:space="preserve">to be opened </w:t>
      </w:r>
      <w:r w:rsidR="001052ED">
        <w:t>May 23, 2018</w:t>
      </w:r>
      <w:r w:rsidR="000A7F6D">
        <w:t xml:space="preserve"> </w:t>
      </w:r>
      <w:r>
        <w:t>at 2:00 p.m. Central Time</w:t>
      </w:r>
    </w:p>
    <w:p w:rsidR="007124F4" w:rsidRPr="00BD5697" w:rsidRDefault="007124F4" w:rsidP="006A5040">
      <w:pPr>
        <w:pStyle w:val="Level3Body"/>
      </w:pPr>
    </w:p>
    <w:p w:rsidR="007124F4" w:rsidRPr="00BD5697" w:rsidRDefault="008020E0"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5664200" cy="77470"/>
                <wp:effectExtent l="0" t="4445"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7747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A1E9" id="Rectangle 2" o:spid="_x0000_s1026" style="position:absolute;margin-left:0;margin-top:0;width:446pt;height:6.1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Kcw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Pr="00F053F3" w:rsidRDefault="00EE3A98" w:rsidP="00EE3A98">
      <w:pPr>
        <w:pStyle w:val="Level1Body"/>
      </w:pPr>
    </w:p>
    <w:p w:rsidR="00EE3A98" w:rsidRPr="00BD5697" w:rsidRDefault="00EE3A98" w:rsidP="00EE3A98">
      <w:pPr>
        <w:pStyle w:val="Level1Body"/>
      </w:pPr>
    </w:p>
    <w:p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1074"/>
        <w:gridCol w:w="1497"/>
        <w:gridCol w:w="1080"/>
        <w:gridCol w:w="2841"/>
        <w:gridCol w:w="2858"/>
      </w:tblGrid>
      <w:tr w:rsidR="001052ED" w:rsidTr="001052ED">
        <w:tc>
          <w:tcPr>
            <w:tcW w:w="1074"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 Number</w:t>
            </w:r>
          </w:p>
        </w:tc>
        <w:tc>
          <w:tcPr>
            <w:tcW w:w="1497" w:type="dxa"/>
            <w:shd w:val="clear" w:color="auto" w:fill="E6E6E6" w:themeFill="background1" w:themeFillShade="E6"/>
          </w:tcPr>
          <w:p w:rsidR="009E2F65" w:rsidRPr="0043603E" w:rsidRDefault="009E2F65" w:rsidP="00495BF8">
            <w:pPr>
              <w:pStyle w:val="Level1Body"/>
              <w:jc w:val="center"/>
              <w:rPr>
                <w:sz w:val="18"/>
                <w:szCs w:val="18"/>
                <w:u w:val="single"/>
              </w:rPr>
            </w:pPr>
            <w:r>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Section</w:t>
            </w:r>
          </w:p>
          <w:p w:rsidR="009E2F65" w:rsidRPr="0043603E" w:rsidRDefault="009E2F65" w:rsidP="00495BF8">
            <w:pPr>
              <w:pStyle w:val="Level1Body"/>
              <w:jc w:val="center"/>
              <w:rPr>
                <w:sz w:val="18"/>
                <w:szCs w:val="18"/>
                <w:u w:val="single"/>
              </w:rPr>
            </w:pPr>
            <w:r w:rsidRPr="0043603E">
              <w:rPr>
                <w:sz w:val="18"/>
                <w:szCs w:val="18"/>
                <w:u w:val="single"/>
              </w:rPr>
              <w:t>Reference</w:t>
            </w:r>
          </w:p>
        </w:tc>
        <w:tc>
          <w:tcPr>
            <w:tcW w:w="108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Page Number</w:t>
            </w:r>
          </w:p>
        </w:tc>
        <w:tc>
          <w:tcPr>
            <w:tcW w:w="2841"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w:t>
            </w:r>
          </w:p>
        </w:tc>
        <w:tc>
          <w:tcPr>
            <w:tcW w:w="2858"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State Response</w:t>
            </w:r>
          </w:p>
        </w:tc>
      </w:tr>
      <w:tr w:rsidR="009E2F65" w:rsidTr="001052ED">
        <w:tc>
          <w:tcPr>
            <w:tcW w:w="1074" w:type="dxa"/>
          </w:tcPr>
          <w:p w:rsidR="009E2F65" w:rsidRDefault="009E2F65" w:rsidP="001052ED">
            <w:pPr>
              <w:pStyle w:val="Level1Body"/>
              <w:numPr>
                <w:ilvl w:val="0"/>
                <w:numId w:val="42"/>
              </w:numPr>
            </w:pPr>
          </w:p>
        </w:tc>
        <w:tc>
          <w:tcPr>
            <w:tcW w:w="1497" w:type="dxa"/>
          </w:tcPr>
          <w:p w:rsidR="009E2F65" w:rsidRDefault="009E2F65" w:rsidP="00495BF8">
            <w:pPr>
              <w:pStyle w:val="Level1Body"/>
            </w:pPr>
          </w:p>
        </w:tc>
        <w:tc>
          <w:tcPr>
            <w:tcW w:w="1080" w:type="dxa"/>
          </w:tcPr>
          <w:p w:rsidR="009E2F65" w:rsidRDefault="009E2F65" w:rsidP="00495BF8">
            <w:pPr>
              <w:pStyle w:val="Level1Body"/>
            </w:pPr>
          </w:p>
        </w:tc>
        <w:tc>
          <w:tcPr>
            <w:tcW w:w="2841" w:type="dxa"/>
          </w:tcPr>
          <w:p w:rsidR="009E2F65" w:rsidRPr="001052ED" w:rsidRDefault="001052ED" w:rsidP="00495BF8">
            <w:pPr>
              <w:pStyle w:val="Level1Body"/>
              <w:rPr>
                <w:color w:val="auto"/>
                <w:sz w:val="18"/>
                <w:szCs w:val="18"/>
              </w:rPr>
            </w:pPr>
            <w:r w:rsidRPr="001052ED">
              <w:rPr>
                <w:color w:val="auto"/>
                <w:sz w:val="18"/>
                <w:szCs w:val="18"/>
              </w:rPr>
              <w:t>Is the letter dated April 23, 2018, regarding “Treatment and Education for Board of Parole Clients”, the process in which we must submit a RFQ for in order to provide the classes previously requested by parole?  Does this mean parole no longer wants to have dialectical behavioral therapy groups, parenting classes, healthy relationship classes, or financial classes available to parolees?  Under the definition of Life Skills Classes, it stated, “To educate participants on parenting skills or healthy relationships or financial wellness.  Does this mean we can submit for a class for each topic , as we previously outlined above? I do not see those particular classes listed specifically in the RFP#95991-Z6.  Or is the intention for all three topics to be grouped into one class under Life Skills Classes?</w:t>
            </w:r>
          </w:p>
        </w:tc>
        <w:tc>
          <w:tcPr>
            <w:tcW w:w="2858" w:type="dxa"/>
          </w:tcPr>
          <w:p w:rsidR="009E2F65" w:rsidRDefault="00B41001" w:rsidP="00495BF8">
            <w:pPr>
              <w:pStyle w:val="Level1Body"/>
            </w:pPr>
            <w:r>
              <w:t>Bidders can specify what classes they are able to provide as a subset of Life Skills Classes.</w:t>
            </w:r>
          </w:p>
        </w:tc>
      </w:tr>
      <w:tr w:rsidR="009E2F65" w:rsidTr="001052ED">
        <w:tc>
          <w:tcPr>
            <w:tcW w:w="1074" w:type="dxa"/>
          </w:tcPr>
          <w:p w:rsidR="009E2F65" w:rsidRDefault="009E2F65" w:rsidP="001052ED">
            <w:pPr>
              <w:pStyle w:val="Level1Body"/>
              <w:numPr>
                <w:ilvl w:val="0"/>
                <w:numId w:val="42"/>
              </w:numPr>
            </w:pPr>
          </w:p>
        </w:tc>
        <w:tc>
          <w:tcPr>
            <w:tcW w:w="1497" w:type="dxa"/>
          </w:tcPr>
          <w:p w:rsidR="009E2F65" w:rsidRDefault="009E2F65" w:rsidP="00495BF8">
            <w:pPr>
              <w:pStyle w:val="Level1Body"/>
            </w:pPr>
          </w:p>
        </w:tc>
        <w:tc>
          <w:tcPr>
            <w:tcW w:w="1080" w:type="dxa"/>
          </w:tcPr>
          <w:p w:rsidR="009E2F65" w:rsidRDefault="009E2F65" w:rsidP="00495BF8">
            <w:pPr>
              <w:pStyle w:val="Level1Body"/>
            </w:pPr>
          </w:p>
        </w:tc>
        <w:tc>
          <w:tcPr>
            <w:tcW w:w="2841" w:type="dxa"/>
          </w:tcPr>
          <w:p w:rsidR="001052ED" w:rsidRPr="001052ED" w:rsidRDefault="001052ED" w:rsidP="001052ED">
            <w:pPr>
              <w:rPr>
                <w:sz w:val="18"/>
                <w:szCs w:val="18"/>
              </w:rPr>
            </w:pPr>
            <w:r w:rsidRPr="001052ED">
              <w:rPr>
                <w:sz w:val="18"/>
                <w:szCs w:val="18"/>
              </w:rPr>
              <w:t>Am I correct in the understanding we must submit our proposals through this RFP no later than May 23, 2018?</w:t>
            </w:r>
          </w:p>
          <w:p w:rsidR="009E2F65" w:rsidRPr="001052ED" w:rsidRDefault="009E2F65" w:rsidP="00495BF8">
            <w:pPr>
              <w:pStyle w:val="Level1Body"/>
              <w:rPr>
                <w:color w:val="auto"/>
                <w:sz w:val="18"/>
                <w:szCs w:val="18"/>
              </w:rPr>
            </w:pPr>
          </w:p>
        </w:tc>
        <w:tc>
          <w:tcPr>
            <w:tcW w:w="2858" w:type="dxa"/>
          </w:tcPr>
          <w:p w:rsidR="009E2F65" w:rsidRDefault="00B41001" w:rsidP="00495BF8">
            <w:pPr>
              <w:pStyle w:val="Level1Body"/>
            </w:pPr>
            <w:r>
              <w:t>Yes.</w:t>
            </w:r>
          </w:p>
        </w:tc>
      </w:tr>
      <w:tr w:rsidR="009E2F65" w:rsidTr="001052ED">
        <w:tc>
          <w:tcPr>
            <w:tcW w:w="1074" w:type="dxa"/>
          </w:tcPr>
          <w:p w:rsidR="009E2F65" w:rsidRDefault="009E2F65" w:rsidP="001052ED">
            <w:pPr>
              <w:pStyle w:val="Level1Body"/>
              <w:numPr>
                <w:ilvl w:val="0"/>
                <w:numId w:val="42"/>
              </w:numPr>
            </w:pPr>
          </w:p>
        </w:tc>
        <w:tc>
          <w:tcPr>
            <w:tcW w:w="1497" w:type="dxa"/>
          </w:tcPr>
          <w:p w:rsidR="009E2F65" w:rsidRPr="001052ED" w:rsidRDefault="001052ED" w:rsidP="00495BF8">
            <w:pPr>
              <w:pStyle w:val="Level1Body"/>
              <w:rPr>
                <w:sz w:val="18"/>
                <w:szCs w:val="18"/>
              </w:rPr>
            </w:pPr>
            <w:r w:rsidRPr="001052ED">
              <w:rPr>
                <w:sz w:val="18"/>
                <w:szCs w:val="18"/>
              </w:rPr>
              <w:t>Groups/Classes for Board of Parole Clients</w:t>
            </w:r>
          </w:p>
        </w:tc>
        <w:tc>
          <w:tcPr>
            <w:tcW w:w="1080" w:type="dxa"/>
          </w:tcPr>
          <w:p w:rsidR="001052ED" w:rsidRPr="001052ED" w:rsidRDefault="001052ED" w:rsidP="001052ED">
            <w:pPr>
              <w:spacing w:line="252" w:lineRule="auto"/>
              <w:rPr>
                <w:sz w:val="18"/>
                <w:szCs w:val="18"/>
              </w:rPr>
            </w:pPr>
            <w:r w:rsidRPr="001052ED">
              <w:rPr>
                <w:sz w:val="18"/>
                <w:szCs w:val="18"/>
              </w:rPr>
              <w:t>95991-Z6     page 26</w:t>
            </w:r>
          </w:p>
          <w:p w:rsidR="009E2F65" w:rsidRPr="001052ED" w:rsidRDefault="009E2F65" w:rsidP="00495BF8">
            <w:pPr>
              <w:pStyle w:val="Level1Body"/>
              <w:rPr>
                <w:sz w:val="18"/>
                <w:szCs w:val="18"/>
              </w:rPr>
            </w:pPr>
          </w:p>
        </w:tc>
        <w:tc>
          <w:tcPr>
            <w:tcW w:w="2841" w:type="dxa"/>
          </w:tcPr>
          <w:p w:rsidR="009E2F65" w:rsidRPr="001052ED" w:rsidRDefault="001052ED" w:rsidP="00495BF8">
            <w:pPr>
              <w:pStyle w:val="Level1Body"/>
              <w:rPr>
                <w:sz w:val="18"/>
                <w:szCs w:val="18"/>
              </w:rPr>
            </w:pPr>
            <w:r w:rsidRPr="001052ED">
              <w:rPr>
                <w:sz w:val="18"/>
                <w:szCs w:val="18"/>
              </w:rPr>
              <w:t>RELAPSE PREVENTION: The specifications state: “Curriculum will be made available to providers. Individualized relapse plans are developed, reviewed and adjusted as needed. Group meets once per week. Provider shall provide curriculum materials and required literature.” If DoP is providing the materials, how does one get to review the materials for bidding purposes? What are the providers having to provide?</w:t>
            </w:r>
          </w:p>
        </w:tc>
        <w:tc>
          <w:tcPr>
            <w:tcW w:w="2858" w:type="dxa"/>
          </w:tcPr>
          <w:p w:rsidR="009E2F65" w:rsidRDefault="00B41001" w:rsidP="00B41001">
            <w:pPr>
              <w:pStyle w:val="Level1Body"/>
            </w:pPr>
            <w:r>
              <w:t>Please see attachment provided with Addendum #1, which provides a copy of the curriculum for the Relapse Group. Bidders may review this attachment in preparing their submission.</w:t>
            </w:r>
          </w:p>
        </w:tc>
      </w:tr>
      <w:tr w:rsidR="009E2F65" w:rsidTr="001052ED">
        <w:tc>
          <w:tcPr>
            <w:tcW w:w="1074" w:type="dxa"/>
          </w:tcPr>
          <w:p w:rsidR="009E2F65" w:rsidRDefault="009E2F65" w:rsidP="001052ED">
            <w:pPr>
              <w:pStyle w:val="Level1Body"/>
              <w:numPr>
                <w:ilvl w:val="0"/>
                <w:numId w:val="42"/>
              </w:numPr>
            </w:pPr>
          </w:p>
        </w:tc>
        <w:tc>
          <w:tcPr>
            <w:tcW w:w="1497" w:type="dxa"/>
          </w:tcPr>
          <w:p w:rsidR="009E2F65" w:rsidRDefault="009E2F65" w:rsidP="00495BF8">
            <w:pPr>
              <w:pStyle w:val="Level1Body"/>
            </w:pPr>
          </w:p>
        </w:tc>
        <w:tc>
          <w:tcPr>
            <w:tcW w:w="1080" w:type="dxa"/>
          </w:tcPr>
          <w:p w:rsidR="009E2F65" w:rsidRDefault="009E2F65" w:rsidP="00495BF8">
            <w:pPr>
              <w:pStyle w:val="Level1Body"/>
            </w:pPr>
          </w:p>
        </w:tc>
        <w:tc>
          <w:tcPr>
            <w:tcW w:w="2841" w:type="dxa"/>
          </w:tcPr>
          <w:p w:rsidR="001052ED" w:rsidRPr="001052ED" w:rsidRDefault="001052ED" w:rsidP="001052ED">
            <w:pPr>
              <w:rPr>
                <w:rFonts w:cs="Arial"/>
                <w:sz w:val="18"/>
                <w:szCs w:val="18"/>
              </w:rPr>
            </w:pPr>
            <w:r w:rsidRPr="001052ED">
              <w:rPr>
                <w:rFonts w:cs="Arial"/>
                <w:i/>
                <w:iCs/>
                <w:sz w:val="18"/>
                <w:szCs w:val="18"/>
              </w:rPr>
              <w:t>Regarding Contractor’s Location of services provided: Is it possible to have the Valley Hope Association’s O’Neill Nebraska facility set as a prospective treatment location for your services?</w:t>
            </w:r>
          </w:p>
          <w:p w:rsidR="009E2F65" w:rsidRPr="001052ED" w:rsidRDefault="009E2F65" w:rsidP="001052ED">
            <w:pPr>
              <w:pStyle w:val="Level1Body"/>
              <w:ind w:firstLine="720"/>
              <w:rPr>
                <w:sz w:val="18"/>
                <w:szCs w:val="18"/>
              </w:rPr>
            </w:pPr>
          </w:p>
        </w:tc>
        <w:tc>
          <w:tcPr>
            <w:tcW w:w="2858" w:type="dxa"/>
          </w:tcPr>
          <w:p w:rsidR="009E2F65" w:rsidRDefault="00B41001" w:rsidP="00495BF8">
            <w:pPr>
              <w:pStyle w:val="Level1Body"/>
            </w:pPr>
            <w:r>
              <w:t>O’Neill will be considered as a prospective treatment location.</w:t>
            </w:r>
          </w:p>
        </w:tc>
      </w:tr>
      <w:tr w:rsidR="009E2F65" w:rsidTr="001052ED">
        <w:tc>
          <w:tcPr>
            <w:tcW w:w="1074" w:type="dxa"/>
          </w:tcPr>
          <w:p w:rsidR="009E2F65" w:rsidRDefault="009E2F65" w:rsidP="001052ED">
            <w:pPr>
              <w:pStyle w:val="Level1Body"/>
              <w:numPr>
                <w:ilvl w:val="0"/>
                <w:numId w:val="42"/>
              </w:numPr>
            </w:pPr>
          </w:p>
        </w:tc>
        <w:tc>
          <w:tcPr>
            <w:tcW w:w="1497" w:type="dxa"/>
          </w:tcPr>
          <w:p w:rsidR="009E2F65" w:rsidRDefault="009E2F65" w:rsidP="00495BF8">
            <w:pPr>
              <w:pStyle w:val="Level1Body"/>
            </w:pPr>
          </w:p>
        </w:tc>
        <w:tc>
          <w:tcPr>
            <w:tcW w:w="1080" w:type="dxa"/>
          </w:tcPr>
          <w:p w:rsidR="009E2F65" w:rsidRDefault="009E2F65" w:rsidP="00495BF8">
            <w:pPr>
              <w:pStyle w:val="Level1Body"/>
            </w:pPr>
          </w:p>
        </w:tc>
        <w:tc>
          <w:tcPr>
            <w:tcW w:w="2841" w:type="dxa"/>
          </w:tcPr>
          <w:p w:rsidR="001052ED" w:rsidRPr="001052ED" w:rsidRDefault="001052ED" w:rsidP="001052ED">
            <w:pPr>
              <w:jc w:val="left"/>
              <w:rPr>
                <w:rFonts w:cs="Arial"/>
                <w:sz w:val="18"/>
                <w:szCs w:val="18"/>
              </w:rPr>
            </w:pPr>
            <w:r w:rsidRPr="001052ED">
              <w:rPr>
                <w:rFonts w:cs="Arial"/>
                <w:i/>
                <w:iCs/>
                <w:sz w:val="18"/>
                <w:szCs w:val="18"/>
              </w:rPr>
              <w:t>The RFA requires that licenses be submitted with the bid.  Does this requirement apply to facility licenses, staff licenses or both?  The RFA also requires submission of proof of insurance.  Is a binder for the overall agency sufficient or is a specific binder for our Nebraska facilities required?  </w:t>
            </w:r>
          </w:p>
          <w:p w:rsidR="009E2F65" w:rsidRPr="001052ED" w:rsidRDefault="009E2F65" w:rsidP="00495BF8">
            <w:pPr>
              <w:pStyle w:val="Level1Body"/>
              <w:rPr>
                <w:sz w:val="18"/>
                <w:szCs w:val="18"/>
              </w:rPr>
            </w:pPr>
          </w:p>
        </w:tc>
        <w:tc>
          <w:tcPr>
            <w:tcW w:w="2858" w:type="dxa"/>
          </w:tcPr>
          <w:p w:rsidR="009E2F65" w:rsidRDefault="00B41001" w:rsidP="00495BF8">
            <w:pPr>
              <w:pStyle w:val="Level1Body"/>
            </w:pPr>
            <w:r>
              <w:t>Both facility and staff licenses, if applicable, are needed.  A binder for the overall agency is sufficient.</w:t>
            </w:r>
          </w:p>
        </w:tc>
      </w:tr>
      <w:tr w:rsidR="001052ED" w:rsidTr="001052ED">
        <w:tc>
          <w:tcPr>
            <w:tcW w:w="1074" w:type="dxa"/>
          </w:tcPr>
          <w:p w:rsidR="001052ED" w:rsidRDefault="001052ED" w:rsidP="001052ED">
            <w:pPr>
              <w:pStyle w:val="Level1Body"/>
              <w:numPr>
                <w:ilvl w:val="0"/>
                <w:numId w:val="42"/>
              </w:numPr>
            </w:pPr>
          </w:p>
        </w:tc>
        <w:tc>
          <w:tcPr>
            <w:tcW w:w="1497" w:type="dxa"/>
          </w:tcPr>
          <w:p w:rsidR="001052ED" w:rsidRDefault="001052ED" w:rsidP="00495BF8">
            <w:pPr>
              <w:pStyle w:val="Level1Body"/>
            </w:pPr>
          </w:p>
        </w:tc>
        <w:tc>
          <w:tcPr>
            <w:tcW w:w="1080" w:type="dxa"/>
          </w:tcPr>
          <w:p w:rsidR="001052ED" w:rsidRDefault="001052ED" w:rsidP="00495BF8">
            <w:pPr>
              <w:pStyle w:val="Level1Body"/>
            </w:pPr>
          </w:p>
        </w:tc>
        <w:tc>
          <w:tcPr>
            <w:tcW w:w="2841" w:type="dxa"/>
          </w:tcPr>
          <w:p w:rsidR="001052ED" w:rsidRPr="001052ED" w:rsidRDefault="001052ED" w:rsidP="001052ED">
            <w:pPr>
              <w:jc w:val="left"/>
              <w:rPr>
                <w:rFonts w:cs="Arial"/>
                <w:sz w:val="18"/>
                <w:szCs w:val="18"/>
              </w:rPr>
            </w:pPr>
            <w:r w:rsidRPr="001052ED">
              <w:rPr>
                <w:rFonts w:cs="Arial"/>
                <w:i/>
                <w:iCs/>
                <w:sz w:val="18"/>
                <w:szCs w:val="18"/>
              </w:rPr>
              <w:t>In RFP Section A, 2, i, there is reference to Resume’s.  Which specific personnel are resumes required for?</w:t>
            </w:r>
          </w:p>
          <w:p w:rsidR="001052ED" w:rsidRPr="001052ED" w:rsidRDefault="001052ED" w:rsidP="00495BF8">
            <w:pPr>
              <w:pStyle w:val="Level1Body"/>
              <w:rPr>
                <w:sz w:val="18"/>
                <w:szCs w:val="18"/>
              </w:rPr>
            </w:pPr>
          </w:p>
        </w:tc>
        <w:tc>
          <w:tcPr>
            <w:tcW w:w="2858" w:type="dxa"/>
          </w:tcPr>
          <w:p w:rsidR="001052ED" w:rsidRPr="00807353" w:rsidRDefault="00807353" w:rsidP="00495BF8">
            <w:pPr>
              <w:pStyle w:val="Level1Body"/>
              <w:rPr>
                <w:color w:val="FF0000"/>
              </w:rPr>
            </w:pPr>
            <w:r w:rsidRPr="00DE1485">
              <w:rPr>
                <w:color w:val="auto"/>
              </w:rPr>
              <w:t>Bidders, employees of bidders and or subcontractors who will be working with parole clients should provide resumes.</w:t>
            </w:r>
          </w:p>
        </w:tc>
      </w:tr>
      <w:tr w:rsidR="001052ED" w:rsidTr="001052ED">
        <w:tc>
          <w:tcPr>
            <w:tcW w:w="1074" w:type="dxa"/>
          </w:tcPr>
          <w:p w:rsidR="001052ED" w:rsidRDefault="001052ED" w:rsidP="001052ED">
            <w:pPr>
              <w:pStyle w:val="Level1Body"/>
              <w:numPr>
                <w:ilvl w:val="0"/>
                <w:numId w:val="42"/>
              </w:numPr>
            </w:pPr>
          </w:p>
        </w:tc>
        <w:tc>
          <w:tcPr>
            <w:tcW w:w="1497" w:type="dxa"/>
          </w:tcPr>
          <w:p w:rsidR="001052ED" w:rsidRDefault="001052ED" w:rsidP="00495BF8">
            <w:pPr>
              <w:pStyle w:val="Level1Body"/>
            </w:pPr>
          </w:p>
        </w:tc>
        <w:tc>
          <w:tcPr>
            <w:tcW w:w="1080" w:type="dxa"/>
          </w:tcPr>
          <w:p w:rsidR="001052ED" w:rsidRDefault="001052ED" w:rsidP="00495BF8">
            <w:pPr>
              <w:pStyle w:val="Level1Body"/>
            </w:pPr>
          </w:p>
        </w:tc>
        <w:tc>
          <w:tcPr>
            <w:tcW w:w="2841" w:type="dxa"/>
          </w:tcPr>
          <w:p w:rsidR="001052ED" w:rsidRPr="001052ED" w:rsidRDefault="001052ED" w:rsidP="001052ED">
            <w:pPr>
              <w:jc w:val="left"/>
              <w:rPr>
                <w:rFonts w:cs="Arial"/>
                <w:sz w:val="18"/>
                <w:szCs w:val="18"/>
              </w:rPr>
            </w:pPr>
            <w:r w:rsidRPr="001052ED">
              <w:rPr>
                <w:rFonts w:cs="Arial"/>
                <w:i/>
                <w:iCs/>
                <w:sz w:val="18"/>
                <w:szCs w:val="18"/>
              </w:rPr>
              <w:t>In regard to Professional References, would references from referral sources, accreditation bodies and payers meet the requirement?  What other types of entities would meet this requirement?</w:t>
            </w:r>
          </w:p>
          <w:p w:rsidR="001052ED" w:rsidRPr="001052ED" w:rsidRDefault="001052ED" w:rsidP="00495BF8">
            <w:pPr>
              <w:pStyle w:val="Level1Body"/>
              <w:rPr>
                <w:sz w:val="18"/>
                <w:szCs w:val="18"/>
              </w:rPr>
            </w:pPr>
          </w:p>
        </w:tc>
        <w:tc>
          <w:tcPr>
            <w:tcW w:w="2858" w:type="dxa"/>
          </w:tcPr>
          <w:p w:rsidR="001052ED" w:rsidRDefault="00B41001" w:rsidP="00495BF8">
            <w:pPr>
              <w:pStyle w:val="Level1Body"/>
            </w:pPr>
            <w:r>
              <w:t>References from referral sources, accreditation bodies, and payers meet this requirement.</w:t>
            </w:r>
          </w:p>
        </w:tc>
      </w:tr>
      <w:tr w:rsidR="001052ED" w:rsidTr="001052ED">
        <w:tc>
          <w:tcPr>
            <w:tcW w:w="1074" w:type="dxa"/>
          </w:tcPr>
          <w:p w:rsidR="001052ED" w:rsidRDefault="001052ED" w:rsidP="001052ED">
            <w:pPr>
              <w:pStyle w:val="Level1Body"/>
              <w:numPr>
                <w:ilvl w:val="0"/>
                <w:numId w:val="42"/>
              </w:numPr>
            </w:pPr>
          </w:p>
        </w:tc>
        <w:tc>
          <w:tcPr>
            <w:tcW w:w="1497" w:type="dxa"/>
          </w:tcPr>
          <w:p w:rsidR="001052ED" w:rsidRDefault="001052ED" w:rsidP="00495BF8">
            <w:pPr>
              <w:pStyle w:val="Level1Body"/>
            </w:pPr>
          </w:p>
        </w:tc>
        <w:tc>
          <w:tcPr>
            <w:tcW w:w="1080" w:type="dxa"/>
          </w:tcPr>
          <w:p w:rsidR="001052ED" w:rsidRDefault="001052ED" w:rsidP="00495BF8">
            <w:pPr>
              <w:pStyle w:val="Level1Body"/>
            </w:pPr>
          </w:p>
        </w:tc>
        <w:tc>
          <w:tcPr>
            <w:tcW w:w="2841" w:type="dxa"/>
          </w:tcPr>
          <w:p w:rsidR="001052ED" w:rsidRPr="001052ED" w:rsidRDefault="001052ED" w:rsidP="001052ED">
            <w:pPr>
              <w:jc w:val="left"/>
              <w:rPr>
                <w:rFonts w:cs="Arial"/>
                <w:sz w:val="18"/>
                <w:szCs w:val="18"/>
              </w:rPr>
            </w:pPr>
            <w:r w:rsidRPr="001052ED">
              <w:rPr>
                <w:rFonts w:cs="Arial"/>
                <w:i/>
                <w:iCs/>
                <w:sz w:val="18"/>
                <w:szCs w:val="18"/>
              </w:rPr>
              <w:t>Can all other bid options (classes), besides short term residential substance abuse  treatment, be delivered in the setting of SUD IOP treatment?</w:t>
            </w:r>
          </w:p>
          <w:p w:rsidR="001052ED" w:rsidRPr="001052ED" w:rsidRDefault="001052ED" w:rsidP="00495BF8">
            <w:pPr>
              <w:pStyle w:val="Level1Body"/>
              <w:rPr>
                <w:sz w:val="18"/>
                <w:szCs w:val="18"/>
              </w:rPr>
            </w:pPr>
          </w:p>
        </w:tc>
        <w:tc>
          <w:tcPr>
            <w:tcW w:w="2858" w:type="dxa"/>
          </w:tcPr>
          <w:p w:rsidR="001052ED" w:rsidRDefault="00B41001" w:rsidP="00495BF8">
            <w:pPr>
              <w:pStyle w:val="Level1Body"/>
            </w:pPr>
            <w:r>
              <w:t>For purposes of this RFP, only short term residential substance abuse treatment may be delivered in the setting of SUD IOP treatment.</w:t>
            </w:r>
          </w:p>
        </w:tc>
      </w:tr>
      <w:tr w:rsidR="001052ED" w:rsidTr="001052ED">
        <w:tc>
          <w:tcPr>
            <w:tcW w:w="1074" w:type="dxa"/>
          </w:tcPr>
          <w:p w:rsidR="001052ED" w:rsidRDefault="001052ED" w:rsidP="001052ED">
            <w:pPr>
              <w:pStyle w:val="Level1Body"/>
              <w:numPr>
                <w:ilvl w:val="0"/>
                <w:numId w:val="42"/>
              </w:numPr>
            </w:pPr>
          </w:p>
        </w:tc>
        <w:tc>
          <w:tcPr>
            <w:tcW w:w="1497" w:type="dxa"/>
          </w:tcPr>
          <w:p w:rsidR="001052ED" w:rsidRDefault="001052ED" w:rsidP="00495BF8">
            <w:pPr>
              <w:pStyle w:val="Level1Body"/>
            </w:pPr>
          </w:p>
        </w:tc>
        <w:tc>
          <w:tcPr>
            <w:tcW w:w="1080" w:type="dxa"/>
          </w:tcPr>
          <w:p w:rsidR="001052ED" w:rsidRDefault="001052ED" w:rsidP="00495BF8">
            <w:pPr>
              <w:pStyle w:val="Level1Body"/>
            </w:pPr>
          </w:p>
        </w:tc>
        <w:tc>
          <w:tcPr>
            <w:tcW w:w="2841" w:type="dxa"/>
          </w:tcPr>
          <w:p w:rsidR="001052ED" w:rsidRPr="001052ED" w:rsidRDefault="001052ED" w:rsidP="001052ED">
            <w:pPr>
              <w:jc w:val="left"/>
              <w:rPr>
                <w:rFonts w:cs="Arial"/>
                <w:sz w:val="18"/>
                <w:szCs w:val="18"/>
              </w:rPr>
            </w:pPr>
            <w:r w:rsidRPr="001052ED">
              <w:rPr>
                <w:rFonts w:cs="Arial"/>
                <w:i/>
                <w:iCs/>
                <w:sz w:val="18"/>
                <w:szCs w:val="18"/>
              </w:rPr>
              <w:t xml:space="preserve">What is the duration, in weeks or sessions, of the groups? In the </w:t>
            </w:r>
            <w:r w:rsidRPr="001052ED">
              <w:rPr>
                <w:rFonts w:cs="Arial"/>
                <w:i/>
                <w:iCs/>
                <w:sz w:val="18"/>
                <w:szCs w:val="18"/>
              </w:rPr>
              <w:lastRenderedPageBreak/>
              <w:t>documentation it states “varies” or “individualized based on the progress in group and the stage of change,” – Could you please define “varies?”</w:t>
            </w:r>
          </w:p>
          <w:p w:rsidR="001052ED" w:rsidRPr="001052ED" w:rsidRDefault="001052ED" w:rsidP="00495BF8">
            <w:pPr>
              <w:pStyle w:val="Level1Body"/>
              <w:rPr>
                <w:sz w:val="18"/>
                <w:szCs w:val="18"/>
              </w:rPr>
            </w:pPr>
          </w:p>
        </w:tc>
        <w:tc>
          <w:tcPr>
            <w:tcW w:w="2858" w:type="dxa"/>
          </w:tcPr>
          <w:p w:rsidR="001052ED" w:rsidRDefault="00B41001" w:rsidP="00495BF8">
            <w:pPr>
              <w:pStyle w:val="Level1Body"/>
            </w:pPr>
            <w:r>
              <w:lastRenderedPageBreak/>
              <w:t xml:space="preserve">The duration requirement will be part of the Bidder’s </w:t>
            </w:r>
            <w:r>
              <w:lastRenderedPageBreak/>
              <w:t>proposal based on i</w:t>
            </w:r>
            <w:bookmarkStart w:id="1" w:name="_GoBack"/>
            <w:bookmarkEnd w:id="1"/>
            <w:r>
              <w:t>ts experience in such sessions or groups</w:t>
            </w:r>
          </w:p>
        </w:tc>
      </w:tr>
      <w:tr w:rsidR="001052ED" w:rsidTr="001052ED">
        <w:tc>
          <w:tcPr>
            <w:tcW w:w="1074" w:type="dxa"/>
          </w:tcPr>
          <w:p w:rsidR="001052ED" w:rsidRDefault="001052ED" w:rsidP="001052ED">
            <w:pPr>
              <w:pStyle w:val="Level1Body"/>
              <w:numPr>
                <w:ilvl w:val="0"/>
                <w:numId w:val="42"/>
              </w:numPr>
            </w:pPr>
          </w:p>
        </w:tc>
        <w:tc>
          <w:tcPr>
            <w:tcW w:w="1497" w:type="dxa"/>
          </w:tcPr>
          <w:p w:rsidR="001052ED" w:rsidRDefault="001052ED" w:rsidP="00495BF8">
            <w:pPr>
              <w:pStyle w:val="Level1Body"/>
            </w:pPr>
          </w:p>
        </w:tc>
        <w:tc>
          <w:tcPr>
            <w:tcW w:w="1080" w:type="dxa"/>
          </w:tcPr>
          <w:p w:rsidR="001052ED" w:rsidRDefault="001052ED" w:rsidP="00495BF8">
            <w:pPr>
              <w:pStyle w:val="Level1Body"/>
            </w:pPr>
          </w:p>
        </w:tc>
        <w:tc>
          <w:tcPr>
            <w:tcW w:w="2841" w:type="dxa"/>
          </w:tcPr>
          <w:p w:rsidR="001052ED" w:rsidRPr="001052ED" w:rsidRDefault="001052ED" w:rsidP="00495BF8">
            <w:pPr>
              <w:pStyle w:val="Level1Body"/>
              <w:rPr>
                <w:sz w:val="18"/>
                <w:szCs w:val="18"/>
              </w:rPr>
            </w:pPr>
            <w:r w:rsidRPr="001052ED">
              <w:rPr>
                <w:rFonts w:cs="Arial"/>
                <w:i/>
                <w:iCs/>
                <w:sz w:val="18"/>
                <w:szCs w:val="18"/>
              </w:rPr>
              <w:t>Can the services be provided in a day setting instead of the evening (after 5) or on the weekend (Saturday and/or Sunday)?</w:t>
            </w:r>
          </w:p>
        </w:tc>
        <w:tc>
          <w:tcPr>
            <w:tcW w:w="2858" w:type="dxa"/>
          </w:tcPr>
          <w:p w:rsidR="001052ED" w:rsidRPr="00807353" w:rsidRDefault="00B41001" w:rsidP="00807353">
            <w:pPr>
              <w:pStyle w:val="Level1Body"/>
              <w:rPr>
                <w:color w:val="FF0000"/>
              </w:rPr>
            </w:pPr>
            <w:r>
              <w:t xml:space="preserve">For purposes </w:t>
            </w:r>
            <w:r w:rsidRPr="00DE1485">
              <w:rPr>
                <w:color w:val="auto"/>
              </w:rPr>
              <w:t xml:space="preserve">of </w:t>
            </w:r>
            <w:r w:rsidR="00807353" w:rsidRPr="00DE1485">
              <w:rPr>
                <w:color w:val="auto"/>
              </w:rPr>
              <w:t>the clients served by</w:t>
            </w:r>
            <w:r w:rsidR="00807353" w:rsidRPr="00807353">
              <w:rPr>
                <w:color w:val="FF0000"/>
              </w:rPr>
              <w:t xml:space="preserve"> </w:t>
            </w:r>
            <w:r>
              <w:t>this RFP, only the ability to provide evening and weekend classes will be considered.</w:t>
            </w:r>
          </w:p>
        </w:tc>
      </w:tr>
      <w:tr w:rsidR="001052ED" w:rsidTr="001052ED">
        <w:tc>
          <w:tcPr>
            <w:tcW w:w="1074" w:type="dxa"/>
          </w:tcPr>
          <w:p w:rsidR="001052ED" w:rsidRDefault="001052ED" w:rsidP="001052ED">
            <w:pPr>
              <w:pStyle w:val="Level1Body"/>
              <w:numPr>
                <w:ilvl w:val="0"/>
                <w:numId w:val="42"/>
              </w:numPr>
            </w:pPr>
          </w:p>
        </w:tc>
        <w:tc>
          <w:tcPr>
            <w:tcW w:w="1497" w:type="dxa"/>
          </w:tcPr>
          <w:p w:rsidR="001052ED" w:rsidRDefault="001052ED" w:rsidP="00495BF8">
            <w:pPr>
              <w:pStyle w:val="Level1Body"/>
            </w:pPr>
          </w:p>
        </w:tc>
        <w:tc>
          <w:tcPr>
            <w:tcW w:w="1080" w:type="dxa"/>
          </w:tcPr>
          <w:p w:rsidR="001052ED" w:rsidRDefault="001052ED" w:rsidP="00495BF8">
            <w:pPr>
              <w:pStyle w:val="Level1Body"/>
            </w:pPr>
          </w:p>
        </w:tc>
        <w:tc>
          <w:tcPr>
            <w:tcW w:w="2841" w:type="dxa"/>
          </w:tcPr>
          <w:p w:rsidR="001052ED" w:rsidRPr="001052ED" w:rsidRDefault="001052ED" w:rsidP="001052ED">
            <w:pPr>
              <w:jc w:val="left"/>
              <w:rPr>
                <w:rFonts w:cs="Arial"/>
                <w:i/>
                <w:iCs/>
                <w:sz w:val="18"/>
                <w:szCs w:val="18"/>
              </w:rPr>
            </w:pPr>
            <w:r w:rsidRPr="001052ED">
              <w:rPr>
                <w:rFonts w:cs="Arial"/>
                <w:i/>
                <w:iCs/>
                <w:sz w:val="18"/>
                <w:szCs w:val="18"/>
              </w:rPr>
              <w:t>For short term residential SUD treatment, can one facility that is outside of the 15 mile radius of your service locations bid to serve all of your service locations?</w:t>
            </w:r>
          </w:p>
          <w:p w:rsidR="001052ED" w:rsidRPr="001052ED" w:rsidRDefault="001052ED" w:rsidP="00495BF8">
            <w:pPr>
              <w:pStyle w:val="Level1Body"/>
              <w:rPr>
                <w:sz w:val="18"/>
                <w:szCs w:val="18"/>
              </w:rPr>
            </w:pPr>
          </w:p>
        </w:tc>
        <w:tc>
          <w:tcPr>
            <w:tcW w:w="2858" w:type="dxa"/>
          </w:tcPr>
          <w:p w:rsidR="001052ED" w:rsidRDefault="00B41001" w:rsidP="00495BF8">
            <w:pPr>
              <w:pStyle w:val="Level1Body"/>
            </w:pPr>
            <w:r>
              <w:t>For short term residential SUD, one facility that is outside the 15 mile radius of parole locations may bid to serve all locations.</w:t>
            </w:r>
          </w:p>
        </w:tc>
      </w:tr>
      <w:tr w:rsidR="001052ED" w:rsidTr="001052ED">
        <w:tc>
          <w:tcPr>
            <w:tcW w:w="1074" w:type="dxa"/>
          </w:tcPr>
          <w:p w:rsidR="001052ED" w:rsidRDefault="001052ED" w:rsidP="001052ED">
            <w:pPr>
              <w:pStyle w:val="Level1Body"/>
              <w:numPr>
                <w:ilvl w:val="0"/>
                <w:numId w:val="42"/>
              </w:numPr>
            </w:pPr>
          </w:p>
        </w:tc>
        <w:tc>
          <w:tcPr>
            <w:tcW w:w="1497" w:type="dxa"/>
          </w:tcPr>
          <w:p w:rsidR="001052ED" w:rsidRDefault="001052ED" w:rsidP="00495BF8">
            <w:pPr>
              <w:pStyle w:val="Level1Body"/>
            </w:pPr>
          </w:p>
        </w:tc>
        <w:tc>
          <w:tcPr>
            <w:tcW w:w="1080" w:type="dxa"/>
          </w:tcPr>
          <w:p w:rsidR="001052ED" w:rsidRDefault="001052ED" w:rsidP="00495BF8">
            <w:pPr>
              <w:pStyle w:val="Level1Body"/>
            </w:pPr>
          </w:p>
        </w:tc>
        <w:tc>
          <w:tcPr>
            <w:tcW w:w="2841" w:type="dxa"/>
          </w:tcPr>
          <w:p w:rsidR="001052ED" w:rsidRPr="001052ED" w:rsidRDefault="001052ED" w:rsidP="001052ED">
            <w:pPr>
              <w:jc w:val="left"/>
              <w:rPr>
                <w:rFonts w:cs="Arial"/>
                <w:i/>
                <w:iCs/>
                <w:sz w:val="18"/>
                <w:szCs w:val="18"/>
              </w:rPr>
            </w:pPr>
            <w:r w:rsidRPr="001052ED">
              <w:rPr>
                <w:rFonts w:cs="Arial"/>
                <w:i/>
                <w:iCs/>
                <w:sz w:val="18"/>
                <w:szCs w:val="18"/>
              </w:rPr>
              <w:t>Can a bidder offer a bid for only short term residential SUD treatment without bidding on the other service components.  Similarly, can a bidder submit bids for only some of the education components, but not all?</w:t>
            </w:r>
          </w:p>
          <w:p w:rsidR="001052ED" w:rsidRPr="001052ED" w:rsidRDefault="001052ED" w:rsidP="00495BF8">
            <w:pPr>
              <w:pStyle w:val="Level1Body"/>
              <w:rPr>
                <w:sz w:val="18"/>
                <w:szCs w:val="18"/>
              </w:rPr>
            </w:pPr>
          </w:p>
        </w:tc>
        <w:tc>
          <w:tcPr>
            <w:tcW w:w="2858" w:type="dxa"/>
          </w:tcPr>
          <w:p w:rsidR="001052ED" w:rsidRDefault="000178A4" w:rsidP="00495BF8">
            <w:pPr>
              <w:pStyle w:val="Level1Body"/>
            </w:pPr>
            <w:r>
              <w:t>Yes.  A bidder can offer a bid for only short term residential SUD without bidding the other service components.  Yes, a bidder can submit bids for only some of the education components, but not all.</w:t>
            </w:r>
          </w:p>
        </w:tc>
      </w:tr>
      <w:tr w:rsidR="001052ED" w:rsidTr="001052ED">
        <w:tc>
          <w:tcPr>
            <w:tcW w:w="1074" w:type="dxa"/>
          </w:tcPr>
          <w:p w:rsidR="001052ED" w:rsidRDefault="001052ED" w:rsidP="001052ED">
            <w:pPr>
              <w:pStyle w:val="Level1Body"/>
              <w:numPr>
                <w:ilvl w:val="0"/>
                <w:numId w:val="42"/>
              </w:numPr>
            </w:pPr>
          </w:p>
        </w:tc>
        <w:tc>
          <w:tcPr>
            <w:tcW w:w="1497" w:type="dxa"/>
          </w:tcPr>
          <w:p w:rsidR="001052ED" w:rsidRDefault="001052ED" w:rsidP="00495BF8">
            <w:pPr>
              <w:pStyle w:val="Level1Body"/>
            </w:pPr>
          </w:p>
        </w:tc>
        <w:tc>
          <w:tcPr>
            <w:tcW w:w="1080" w:type="dxa"/>
          </w:tcPr>
          <w:p w:rsidR="001052ED" w:rsidRDefault="001052ED" w:rsidP="00495BF8">
            <w:pPr>
              <w:pStyle w:val="Level1Body"/>
            </w:pPr>
          </w:p>
        </w:tc>
        <w:tc>
          <w:tcPr>
            <w:tcW w:w="2841" w:type="dxa"/>
          </w:tcPr>
          <w:p w:rsidR="001052ED" w:rsidRPr="001052ED" w:rsidRDefault="001052ED" w:rsidP="001052ED">
            <w:pPr>
              <w:jc w:val="left"/>
              <w:rPr>
                <w:rFonts w:cs="Arial"/>
                <w:i/>
                <w:iCs/>
                <w:sz w:val="18"/>
                <w:szCs w:val="18"/>
              </w:rPr>
            </w:pPr>
            <w:r w:rsidRPr="001052ED">
              <w:rPr>
                <w:rFonts w:cs="Arial"/>
                <w:i/>
                <w:iCs/>
                <w:sz w:val="18"/>
                <w:szCs w:val="18"/>
              </w:rPr>
              <w:t>Must the education components be delivered within 15 miles of your service locations?</w:t>
            </w:r>
          </w:p>
          <w:p w:rsidR="001052ED" w:rsidRPr="001052ED" w:rsidRDefault="001052ED" w:rsidP="00495BF8">
            <w:pPr>
              <w:pStyle w:val="Level1Body"/>
              <w:rPr>
                <w:sz w:val="18"/>
                <w:szCs w:val="18"/>
              </w:rPr>
            </w:pPr>
          </w:p>
        </w:tc>
        <w:tc>
          <w:tcPr>
            <w:tcW w:w="2858" w:type="dxa"/>
          </w:tcPr>
          <w:p w:rsidR="001052ED" w:rsidRDefault="000178A4" w:rsidP="00495BF8">
            <w:pPr>
              <w:pStyle w:val="Level1Body"/>
            </w:pPr>
            <w:r>
              <w:t>With the exception of short-term residential substance abuse treatment, the education components must be delivered within 15 miles of parole offices.</w:t>
            </w:r>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Default="007124F4" w:rsidP="00FE0CB5"/>
    <w:p w:rsidR="00D478E0" w:rsidRDefault="00D478E0" w:rsidP="00FE0CB5"/>
    <w:p w:rsidR="00D478E0" w:rsidRDefault="00D478E0" w:rsidP="00FE0CB5"/>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89" w:rsidRDefault="00C26189">
      <w:r>
        <w:separator/>
      </w:r>
    </w:p>
  </w:endnote>
  <w:endnote w:type="continuationSeparator" w:id="0">
    <w:p w:rsidR="00C26189" w:rsidRDefault="00C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DE1485">
      <w:rPr>
        <w:rStyle w:val="PageNumber"/>
        <w:b/>
        <w:noProof/>
        <w:sz w:val="20"/>
      </w:rPr>
      <w:t>3</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89" w:rsidRDefault="00C26189">
      <w:r>
        <w:separator/>
      </w:r>
    </w:p>
  </w:footnote>
  <w:footnote w:type="continuationSeparator" w:id="0">
    <w:p w:rsidR="00C26189" w:rsidRDefault="00C2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37832B5"/>
    <w:multiLevelType w:val="multilevel"/>
    <w:tmpl w:val="ED62884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3956640"/>
    <w:multiLevelType w:val="multilevel"/>
    <w:tmpl w:val="E0DCF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3AF449E"/>
    <w:multiLevelType w:val="multilevel"/>
    <w:tmpl w:val="E3D0440C"/>
    <w:numStyleLink w:val="SchedofEvents-Numbered"/>
  </w:abstractNum>
  <w:abstractNum w:abstractNumId="15"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6"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9C25AED"/>
    <w:multiLevelType w:val="multilevel"/>
    <w:tmpl w:val="EF7869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20" w15:restartNumberingAfterBreak="0">
    <w:nsid w:val="203D0345"/>
    <w:multiLevelType w:val="multilevel"/>
    <w:tmpl w:val="182EEB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1956A27"/>
    <w:multiLevelType w:val="multilevel"/>
    <w:tmpl w:val="E3D0440C"/>
    <w:numStyleLink w:val="SchedofEvents-Numbered"/>
  </w:abstractNum>
  <w:abstractNum w:abstractNumId="27"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9" w15:restartNumberingAfterBreak="0">
    <w:nsid w:val="426B3C51"/>
    <w:multiLevelType w:val="multilevel"/>
    <w:tmpl w:val="5D9A60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31"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32"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4" w15:restartNumberingAfterBreak="0">
    <w:nsid w:val="4DFF0046"/>
    <w:multiLevelType w:val="multilevel"/>
    <w:tmpl w:val="515CC7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2E487F"/>
    <w:multiLevelType w:val="hybridMultilevel"/>
    <w:tmpl w:val="F952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7"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5653348"/>
    <w:multiLevelType w:val="multilevel"/>
    <w:tmpl w:val="42CA94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9D4368C"/>
    <w:multiLevelType w:val="multilevel"/>
    <w:tmpl w:val="E3D0440C"/>
    <w:numStyleLink w:val="SchedofEvents-Numbered"/>
  </w:abstractNum>
  <w:abstractNum w:abstractNumId="40"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28"/>
  </w:num>
  <w:num w:numId="3">
    <w:abstractNumId w:val="33"/>
  </w:num>
  <w:num w:numId="4">
    <w:abstractNumId w:val="12"/>
  </w:num>
  <w:num w:numId="5">
    <w:abstractNumId w:val="37"/>
  </w:num>
  <w:num w:numId="6">
    <w:abstractNumId w:val="41"/>
  </w:num>
  <w:num w:numId="7">
    <w:abstractNumId w:val="19"/>
  </w:num>
  <w:num w:numId="8">
    <w:abstractNumId w:val="14"/>
  </w:num>
  <w:num w:numId="9">
    <w:abstractNumId w:val="36"/>
  </w:num>
  <w:num w:numId="10">
    <w:abstractNumId w:val="24"/>
  </w:num>
  <w:num w:numId="11">
    <w:abstractNumId w:val="21"/>
  </w:num>
  <w:num w:numId="12">
    <w:abstractNumId w:val="25"/>
  </w:num>
  <w:num w:numId="13">
    <w:abstractNumId w:val="31"/>
  </w:num>
  <w:num w:numId="14">
    <w:abstractNumId w:val="40"/>
  </w:num>
  <w:num w:numId="15">
    <w:abstractNumId w:val="10"/>
  </w:num>
  <w:num w:numId="16">
    <w:abstractNumId w:val="32"/>
  </w:num>
  <w:num w:numId="17">
    <w:abstractNumId w:val="30"/>
  </w:num>
  <w:num w:numId="18">
    <w:abstractNumId w:val="16"/>
  </w:num>
  <w:num w:numId="19">
    <w:abstractNumId w:val="17"/>
  </w:num>
  <w:num w:numId="20">
    <w:abstractNumId w:val="39"/>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3"/>
  </w:num>
  <w:num w:numId="40">
    <w:abstractNumId w:val="17"/>
  </w:num>
  <w:num w:numId="41">
    <w:abstractNumId w:val="26"/>
  </w:num>
  <w:num w:numId="42">
    <w:abstractNumId w:val="3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178A4"/>
    <w:rsid w:val="00053790"/>
    <w:rsid w:val="000A0B7C"/>
    <w:rsid w:val="000A7F6D"/>
    <w:rsid w:val="000C4C56"/>
    <w:rsid w:val="001052ED"/>
    <w:rsid w:val="00156FB7"/>
    <w:rsid w:val="00184504"/>
    <w:rsid w:val="001B7621"/>
    <w:rsid w:val="001E284C"/>
    <w:rsid w:val="00241153"/>
    <w:rsid w:val="0025668F"/>
    <w:rsid w:val="00256886"/>
    <w:rsid w:val="0027091D"/>
    <w:rsid w:val="0027121E"/>
    <w:rsid w:val="00293406"/>
    <w:rsid w:val="002E0890"/>
    <w:rsid w:val="002E4E3B"/>
    <w:rsid w:val="002F5695"/>
    <w:rsid w:val="00374BE2"/>
    <w:rsid w:val="003C0E74"/>
    <w:rsid w:val="003E78B5"/>
    <w:rsid w:val="003F21C7"/>
    <w:rsid w:val="003F65D8"/>
    <w:rsid w:val="00433F6F"/>
    <w:rsid w:val="00446D8B"/>
    <w:rsid w:val="004F4925"/>
    <w:rsid w:val="004F6BBB"/>
    <w:rsid w:val="00544A8F"/>
    <w:rsid w:val="00547BB3"/>
    <w:rsid w:val="0058191C"/>
    <w:rsid w:val="005B1348"/>
    <w:rsid w:val="005D1FF3"/>
    <w:rsid w:val="00603A1B"/>
    <w:rsid w:val="006A5040"/>
    <w:rsid w:val="006D6DD0"/>
    <w:rsid w:val="00703BE8"/>
    <w:rsid w:val="007124F4"/>
    <w:rsid w:val="00712CE8"/>
    <w:rsid w:val="007237A1"/>
    <w:rsid w:val="00731D0A"/>
    <w:rsid w:val="00736F52"/>
    <w:rsid w:val="00744C0B"/>
    <w:rsid w:val="00754004"/>
    <w:rsid w:val="00773BDE"/>
    <w:rsid w:val="007C187D"/>
    <w:rsid w:val="007E7B33"/>
    <w:rsid w:val="008020E0"/>
    <w:rsid w:val="00807353"/>
    <w:rsid w:val="0086338A"/>
    <w:rsid w:val="00867A2B"/>
    <w:rsid w:val="00882107"/>
    <w:rsid w:val="008A04EF"/>
    <w:rsid w:val="009C0EF1"/>
    <w:rsid w:val="009E2F65"/>
    <w:rsid w:val="009F49D3"/>
    <w:rsid w:val="00A26B73"/>
    <w:rsid w:val="00A35D07"/>
    <w:rsid w:val="00A44C9E"/>
    <w:rsid w:val="00A50158"/>
    <w:rsid w:val="00A8383E"/>
    <w:rsid w:val="00AB1852"/>
    <w:rsid w:val="00B061E4"/>
    <w:rsid w:val="00B22523"/>
    <w:rsid w:val="00B4087F"/>
    <w:rsid w:val="00B41001"/>
    <w:rsid w:val="00BB47C8"/>
    <w:rsid w:val="00BD5697"/>
    <w:rsid w:val="00C247EF"/>
    <w:rsid w:val="00C2543C"/>
    <w:rsid w:val="00C26189"/>
    <w:rsid w:val="00C2659A"/>
    <w:rsid w:val="00D007C2"/>
    <w:rsid w:val="00D129CE"/>
    <w:rsid w:val="00D478E0"/>
    <w:rsid w:val="00D65894"/>
    <w:rsid w:val="00D77958"/>
    <w:rsid w:val="00D802BD"/>
    <w:rsid w:val="00DA7CD3"/>
    <w:rsid w:val="00DB23F7"/>
    <w:rsid w:val="00DB68B3"/>
    <w:rsid w:val="00DD2DBC"/>
    <w:rsid w:val="00DD41C2"/>
    <w:rsid w:val="00DE1485"/>
    <w:rsid w:val="00E4723E"/>
    <w:rsid w:val="00E47C7F"/>
    <w:rsid w:val="00E51B65"/>
    <w:rsid w:val="00E80044"/>
    <w:rsid w:val="00EC52C4"/>
    <w:rsid w:val="00EE3A98"/>
    <w:rsid w:val="00F71FF5"/>
    <w:rsid w:val="00F91450"/>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D4799389-CBC4-4513-9D50-5970E8C4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5313">
      <w:bodyDiv w:val="1"/>
      <w:marLeft w:val="0"/>
      <w:marRight w:val="0"/>
      <w:marTop w:val="0"/>
      <w:marBottom w:val="0"/>
      <w:divBdr>
        <w:top w:val="none" w:sz="0" w:space="0" w:color="auto"/>
        <w:left w:val="none" w:sz="0" w:space="0" w:color="auto"/>
        <w:bottom w:val="none" w:sz="0" w:space="0" w:color="auto"/>
        <w:right w:val="none" w:sz="0" w:space="0" w:color="auto"/>
      </w:divBdr>
    </w:div>
    <w:div w:id="649988049">
      <w:bodyDiv w:val="1"/>
      <w:marLeft w:val="0"/>
      <w:marRight w:val="0"/>
      <w:marTop w:val="0"/>
      <w:marBottom w:val="0"/>
      <w:divBdr>
        <w:top w:val="none" w:sz="0" w:space="0" w:color="auto"/>
        <w:left w:val="none" w:sz="0" w:space="0" w:color="auto"/>
        <w:bottom w:val="none" w:sz="0" w:space="0" w:color="auto"/>
        <w:right w:val="none" w:sz="0" w:space="0" w:color="auto"/>
      </w:divBdr>
    </w:div>
    <w:div w:id="841048574">
      <w:bodyDiv w:val="1"/>
      <w:marLeft w:val="0"/>
      <w:marRight w:val="0"/>
      <w:marTop w:val="0"/>
      <w:marBottom w:val="0"/>
      <w:divBdr>
        <w:top w:val="none" w:sz="0" w:space="0" w:color="auto"/>
        <w:left w:val="none" w:sz="0" w:space="0" w:color="auto"/>
        <w:bottom w:val="none" w:sz="0" w:space="0" w:color="auto"/>
        <w:right w:val="none" w:sz="0" w:space="0" w:color="auto"/>
      </w:divBdr>
    </w:div>
    <w:div w:id="1008172512">
      <w:bodyDiv w:val="1"/>
      <w:marLeft w:val="0"/>
      <w:marRight w:val="0"/>
      <w:marTop w:val="0"/>
      <w:marBottom w:val="0"/>
      <w:divBdr>
        <w:top w:val="none" w:sz="0" w:space="0" w:color="auto"/>
        <w:left w:val="none" w:sz="0" w:space="0" w:color="auto"/>
        <w:bottom w:val="none" w:sz="0" w:space="0" w:color="auto"/>
        <w:right w:val="none" w:sz="0" w:space="0" w:color="auto"/>
      </w:divBdr>
    </w:div>
    <w:div w:id="1042677972">
      <w:bodyDiv w:val="1"/>
      <w:marLeft w:val="0"/>
      <w:marRight w:val="0"/>
      <w:marTop w:val="0"/>
      <w:marBottom w:val="0"/>
      <w:divBdr>
        <w:top w:val="none" w:sz="0" w:space="0" w:color="auto"/>
        <w:left w:val="none" w:sz="0" w:space="0" w:color="auto"/>
        <w:bottom w:val="none" w:sz="0" w:space="0" w:color="auto"/>
        <w:right w:val="none" w:sz="0" w:space="0" w:color="auto"/>
      </w:divBdr>
    </w:div>
    <w:div w:id="1150899936">
      <w:bodyDiv w:val="1"/>
      <w:marLeft w:val="0"/>
      <w:marRight w:val="0"/>
      <w:marTop w:val="0"/>
      <w:marBottom w:val="0"/>
      <w:divBdr>
        <w:top w:val="none" w:sz="0" w:space="0" w:color="auto"/>
        <w:left w:val="none" w:sz="0" w:space="0" w:color="auto"/>
        <w:bottom w:val="none" w:sz="0" w:space="0" w:color="auto"/>
        <w:right w:val="none" w:sz="0" w:space="0" w:color="auto"/>
      </w:divBdr>
    </w:div>
    <w:div w:id="1215317074">
      <w:bodyDiv w:val="1"/>
      <w:marLeft w:val="0"/>
      <w:marRight w:val="0"/>
      <w:marTop w:val="0"/>
      <w:marBottom w:val="0"/>
      <w:divBdr>
        <w:top w:val="none" w:sz="0" w:space="0" w:color="auto"/>
        <w:left w:val="none" w:sz="0" w:space="0" w:color="auto"/>
        <w:bottom w:val="none" w:sz="0" w:space="0" w:color="auto"/>
        <w:right w:val="none" w:sz="0" w:space="0" w:color="auto"/>
      </w:divBdr>
    </w:div>
    <w:div w:id="1349141895">
      <w:bodyDiv w:val="1"/>
      <w:marLeft w:val="0"/>
      <w:marRight w:val="0"/>
      <w:marTop w:val="0"/>
      <w:marBottom w:val="0"/>
      <w:divBdr>
        <w:top w:val="none" w:sz="0" w:space="0" w:color="auto"/>
        <w:left w:val="none" w:sz="0" w:space="0" w:color="auto"/>
        <w:bottom w:val="none" w:sz="0" w:space="0" w:color="auto"/>
        <w:right w:val="none" w:sz="0" w:space="0" w:color="auto"/>
      </w:divBdr>
    </w:div>
    <w:div w:id="1550458857">
      <w:bodyDiv w:val="1"/>
      <w:marLeft w:val="0"/>
      <w:marRight w:val="0"/>
      <w:marTop w:val="0"/>
      <w:marBottom w:val="0"/>
      <w:divBdr>
        <w:top w:val="none" w:sz="0" w:space="0" w:color="auto"/>
        <w:left w:val="none" w:sz="0" w:space="0" w:color="auto"/>
        <w:bottom w:val="none" w:sz="0" w:space="0" w:color="auto"/>
        <w:right w:val="none" w:sz="0" w:space="0" w:color="auto"/>
      </w:divBdr>
    </w:div>
    <w:div w:id="1577859186">
      <w:bodyDiv w:val="1"/>
      <w:marLeft w:val="0"/>
      <w:marRight w:val="0"/>
      <w:marTop w:val="0"/>
      <w:marBottom w:val="0"/>
      <w:divBdr>
        <w:top w:val="none" w:sz="0" w:space="0" w:color="auto"/>
        <w:left w:val="none" w:sz="0" w:space="0" w:color="auto"/>
        <w:bottom w:val="none" w:sz="0" w:space="0" w:color="auto"/>
        <w:right w:val="none" w:sz="0" w:space="0" w:color="auto"/>
      </w:divBdr>
    </w:div>
    <w:div w:id="1621230192">
      <w:bodyDiv w:val="1"/>
      <w:marLeft w:val="0"/>
      <w:marRight w:val="0"/>
      <w:marTop w:val="0"/>
      <w:marBottom w:val="0"/>
      <w:divBdr>
        <w:top w:val="none" w:sz="0" w:space="0" w:color="auto"/>
        <w:left w:val="none" w:sz="0" w:space="0" w:color="auto"/>
        <w:bottom w:val="none" w:sz="0" w:space="0" w:color="auto"/>
        <w:right w:val="none" w:sz="0" w:space="0" w:color="auto"/>
      </w:divBdr>
    </w:div>
    <w:div w:id="18271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16CC-F40E-448C-AF0A-B8C3885A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Kliment, Chris</cp:lastModifiedBy>
  <cp:revision>4</cp:revision>
  <cp:lastPrinted>2011-03-18T16:09:00Z</cp:lastPrinted>
  <dcterms:created xsi:type="dcterms:W3CDTF">2018-05-10T13:12:00Z</dcterms:created>
  <dcterms:modified xsi:type="dcterms:W3CDTF">2018-05-10T15:40:00Z</dcterms:modified>
</cp:coreProperties>
</file>